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35" w:rsidRPr="00273735" w:rsidRDefault="00273735" w:rsidP="002737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Bold" w:eastAsia="Times New Roman" w:hAnsi="Tahoma,Bold" w:cs="Tahoma,Bold"/>
          <w:b/>
          <w:bCs/>
          <w:color w:val="000000"/>
          <w:sz w:val="21"/>
          <w:szCs w:val="21"/>
          <w:lang w:eastAsia="fr-FR"/>
        </w:rPr>
      </w:pPr>
      <w:bookmarkStart w:id="0" w:name="_GoBack"/>
      <w:bookmarkEnd w:id="0"/>
      <w:r w:rsidRPr="00273735">
        <w:rPr>
          <w:rFonts w:ascii="Calibri" w:eastAsia="Times New Roman" w:hAnsi="Calibri" w:cs="Times New Roman"/>
          <w:b/>
          <w:sz w:val="24"/>
          <w:szCs w:val="24"/>
          <w:lang w:eastAsia="fr-FR"/>
        </w:rPr>
        <w:t>ANNEXE 4</w:t>
      </w:r>
      <w:r w:rsidRPr="00273735">
        <w:rPr>
          <w:rFonts w:ascii="Tahoma,Bold" w:eastAsia="Times New Roman" w:hAnsi="Tahoma,Bold" w:cs="Tahoma,Bold"/>
          <w:b/>
          <w:bCs/>
          <w:color w:val="000000"/>
          <w:sz w:val="21"/>
          <w:szCs w:val="21"/>
          <w:lang w:eastAsia="fr-FR"/>
        </w:rPr>
        <w:t xml:space="preserve"> </w:t>
      </w:r>
    </w:p>
    <w:p w:rsidR="00273735" w:rsidRPr="00273735" w:rsidRDefault="00273735" w:rsidP="002737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Bold" w:eastAsia="Times New Roman" w:hAnsi="Tahoma,Bold" w:cs="Tahoma,Bold"/>
          <w:b/>
          <w:bCs/>
          <w:color w:val="000000"/>
          <w:sz w:val="21"/>
          <w:szCs w:val="21"/>
          <w:lang w:eastAsia="fr-FR"/>
        </w:rPr>
      </w:pPr>
      <w:r w:rsidRPr="00273735">
        <w:rPr>
          <w:rFonts w:ascii="Tahoma,Bold" w:eastAsia="Times New Roman" w:hAnsi="Tahoma,Bold" w:cs="Tahoma,Bold"/>
          <w:b/>
          <w:bCs/>
          <w:color w:val="000000"/>
          <w:sz w:val="21"/>
          <w:szCs w:val="21"/>
          <w:lang w:eastAsia="fr-FR"/>
        </w:rPr>
        <w:t>Modèle de convention de parrainage</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r w:rsidRPr="00273735">
        <w:rPr>
          <w:rFonts w:ascii="Calibri" w:eastAsia="Times New Roman" w:hAnsi="Calibri" w:cs="Tahoma,Bold"/>
          <w:b/>
          <w:bCs/>
          <w:color w:val="000000"/>
          <w:lang w:eastAsia="fr-FR"/>
        </w:rPr>
        <w:t>ENTRE</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000000"/>
          <w:lang w:eastAsia="fr-FR"/>
        </w:rPr>
        <w:t xml:space="preserve">L’association des adhérents du GEM </w:t>
      </w:r>
      <w:r w:rsidRPr="00273735">
        <w:rPr>
          <w:rFonts w:ascii="Calibri" w:eastAsia="Times New Roman" w:hAnsi="Calibri" w:cs="Tahoma"/>
          <w:color w:val="4F82BE"/>
          <w:lang w:eastAsia="fr-FR"/>
        </w:rPr>
        <w:t xml:space="preserve">Nom, Adresse </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4F82BE"/>
          <w:lang w:eastAsia="fr-FR"/>
        </w:rPr>
        <w:t>(</w:t>
      </w:r>
      <w:proofErr w:type="gramStart"/>
      <w:r w:rsidRPr="00273735">
        <w:rPr>
          <w:rFonts w:ascii="Calibri" w:eastAsia="Times New Roman" w:hAnsi="Calibri" w:cs="Tahoma"/>
          <w:color w:val="4F82BE"/>
          <w:lang w:eastAsia="fr-FR"/>
        </w:rPr>
        <w:t>ou</w:t>
      </w:r>
      <w:proofErr w:type="gramEnd"/>
      <w:r w:rsidRPr="00273735">
        <w:rPr>
          <w:rFonts w:ascii="Calibri" w:eastAsia="Times New Roman" w:hAnsi="Calibri" w:cs="Tahoma"/>
          <w:color w:val="4F82BE"/>
          <w:lang w:eastAsia="fr-FR"/>
        </w:rPr>
        <w:t xml:space="preserve"> l’organisme représentant le GEM si l’association des membres du GEM n’est pas encore constituée) </w:t>
      </w:r>
      <w:r w:rsidRPr="00273735">
        <w:rPr>
          <w:rFonts w:ascii="Calibri" w:eastAsia="Times New Roman" w:hAnsi="Calibri" w:cs="Tahoma"/>
          <w:color w:val="000000"/>
          <w:lang w:eastAsia="fr-FR"/>
        </w:rPr>
        <w:t xml:space="preserve">représentée par son président </w:t>
      </w:r>
      <w:r w:rsidRPr="00273735">
        <w:rPr>
          <w:rFonts w:ascii="Calibri" w:eastAsia="Times New Roman" w:hAnsi="Calibri" w:cs="Tahoma"/>
          <w:color w:val="4F82BE"/>
          <w:lang w:eastAsia="fr-FR"/>
        </w:rPr>
        <w:t>Nom,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xml:space="preserve">Ci-après désignée </w:t>
      </w:r>
      <w:r w:rsidRPr="00273735">
        <w:rPr>
          <w:rFonts w:ascii="Cambria Math" w:eastAsia="Times New Roman" w:hAnsi="Cambria Math" w:cs="Cambria Math"/>
          <w:color w:val="000000"/>
          <w:lang w:eastAsia="fr-FR"/>
        </w:rPr>
        <w:t>≪</w:t>
      </w:r>
      <w:r w:rsidRPr="00273735">
        <w:rPr>
          <w:rFonts w:ascii="Calibri" w:eastAsia="Times New Roman" w:hAnsi="Calibri" w:cs="Tahoma"/>
          <w:color w:val="000000"/>
          <w:lang w:eastAsia="fr-FR"/>
        </w:rPr>
        <w:t xml:space="preserve"> Le GEM </w:t>
      </w:r>
      <w:r w:rsidRPr="00273735">
        <w:rPr>
          <w:rFonts w:ascii="Cambria Math" w:eastAsia="Times New Roman" w:hAnsi="Cambria Math" w:cs="Cambria Math"/>
          <w:color w:val="000000"/>
          <w:lang w:eastAsia="fr-FR"/>
        </w:rPr>
        <w:t>≫</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r w:rsidRPr="00273735">
        <w:rPr>
          <w:rFonts w:ascii="Calibri" w:eastAsia="Times New Roman" w:hAnsi="Calibri" w:cs="Tahoma,Bold"/>
          <w:b/>
          <w:bCs/>
          <w:color w:val="000000"/>
          <w:lang w:eastAsia="fr-FR"/>
        </w:rPr>
        <w:t>Et</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000000"/>
          <w:lang w:eastAsia="fr-FR"/>
        </w:rPr>
        <w:t xml:space="preserve">Organisme de parrainage, </w:t>
      </w:r>
      <w:r w:rsidRPr="00273735">
        <w:rPr>
          <w:rFonts w:ascii="Calibri" w:eastAsia="Times New Roman" w:hAnsi="Calibri" w:cs="Tahoma"/>
          <w:color w:val="4F82BE"/>
          <w:lang w:eastAsia="fr-FR"/>
        </w:rPr>
        <w:t>Nom, Adresse</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000000"/>
          <w:lang w:eastAsia="fr-FR"/>
        </w:rPr>
        <w:t xml:space="preserve">Représenté(e) par son </w:t>
      </w:r>
      <w:r w:rsidRPr="00273735">
        <w:rPr>
          <w:rFonts w:ascii="Calibri" w:eastAsia="Times New Roman" w:hAnsi="Calibri" w:cs="Tahoma"/>
          <w:color w:val="4F82BE"/>
          <w:lang w:eastAsia="fr-FR"/>
        </w:rPr>
        <w:t>Nom,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xml:space="preserve">Ci-après désigné(e) </w:t>
      </w:r>
      <w:r w:rsidRPr="00273735">
        <w:rPr>
          <w:rFonts w:ascii="Cambria Math" w:eastAsia="Times New Roman" w:hAnsi="Cambria Math" w:cs="Cambria Math"/>
          <w:color w:val="000000"/>
          <w:lang w:eastAsia="fr-FR"/>
        </w:rPr>
        <w:t>≪</w:t>
      </w:r>
      <w:r w:rsidRPr="00273735">
        <w:rPr>
          <w:rFonts w:ascii="Calibri" w:eastAsia="Times New Roman" w:hAnsi="Calibri" w:cs="Tahoma"/>
          <w:color w:val="000000"/>
          <w:lang w:eastAsia="fr-FR"/>
        </w:rPr>
        <w:t xml:space="preserve"> Le parrain </w:t>
      </w:r>
      <w:r w:rsidRPr="00273735">
        <w:rPr>
          <w:rFonts w:ascii="Cambria Math" w:eastAsia="Times New Roman" w:hAnsi="Cambria Math" w:cs="Cambria Math"/>
          <w:color w:val="000000"/>
          <w:lang w:eastAsia="fr-FR"/>
        </w:rPr>
        <w:t>≫</w:t>
      </w:r>
      <w:r w:rsidRPr="00273735">
        <w:rPr>
          <w:rFonts w:ascii="Calibri" w:eastAsia="Times New Roman" w:hAnsi="Calibri" w:cs="Tahoma"/>
          <w:color w:val="000000"/>
          <w:lang w:eastAsia="fr-FR"/>
        </w:rPr>
        <w:t>,</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Bold"/>
          <w:b/>
          <w:bCs/>
          <w:color w:val="000000"/>
          <w:lang w:eastAsia="fr-FR"/>
        </w:rPr>
        <w:t xml:space="preserve">VU </w:t>
      </w:r>
      <w:r w:rsidRPr="00273735">
        <w:rPr>
          <w:rFonts w:ascii="Calibri" w:eastAsia="Times New Roman" w:hAnsi="Calibri" w:cs="Tahoma"/>
          <w:color w:val="000000"/>
          <w:lang w:eastAsia="fr-FR"/>
        </w:rPr>
        <w:t>la loi 2005-102 du 11 février 2005, relative aux droits des personnes handicapées,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Bold"/>
          <w:b/>
          <w:bCs/>
          <w:color w:val="000000"/>
          <w:lang w:eastAsia="fr-FR"/>
        </w:rPr>
        <w:t xml:space="preserve">VU </w:t>
      </w:r>
      <w:r w:rsidRPr="00273735">
        <w:rPr>
          <w:rFonts w:ascii="Calibri" w:eastAsia="Times New Roman" w:hAnsi="Calibri" w:cs="Tahoma"/>
          <w:color w:val="000000"/>
          <w:lang w:eastAsia="fr-FR"/>
        </w:rPr>
        <w:t>l’arrêté du 18 mars 2016 relatif au cahier des charges des groupes d’entraide mutuelle,</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u w:val="single"/>
          <w:lang w:eastAsia="fr-FR"/>
        </w:rPr>
      </w:pPr>
      <w:r w:rsidRPr="00273735">
        <w:rPr>
          <w:rFonts w:ascii="Calibri" w:eastAsia="Times New Roman" w:hAnsi="Calibri" w:cs="Tahoma,Bold"/>
          <w:b/>
          <w:bCs/>
          <w:color w:val="000000"/>
          <w:u w:val="single"/>
          <w:lang w:eastAsia="fr-FR"/>
        </w:rPr>
        <w:t>Préambule</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Les groupes d’entraide mutuelle (GEM) sont des structures de prévention et de compensation de la restriction de participation à la vie en société prévues aux articles L. 114-1-1 et L. 114-3 du code de l’action sociale et des familles (CASF), tels qu’ils résultent de la loi n° 2005-102 du 11 février 2005 pour l’égalité des droits et des chances, la participation et la citoyenneté des personnes handicapées.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Ils s’apparentent à des dispositifs d’entraide mutuelle entre pairs, en constituant avant tout un collectif de personnes concernées par des problématiques de sante similaires et souhaitant se soutenir mutuellement dans les difficultés éventuellement rencontrées, notamment en terme d’insertion sociale, professionnelle et citoyenne.</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cahier des charges fixé par l’arrêté du 18 mars 2016 rend obligatoire le soutien du GEM par un organisme parrain et la signature d’une convention de parrainage. Cette convention de parrainage est à transmettre à l’ARS. Le rôle du parrain consiste à soutenir le GEM dans une position de tiers et de médiateur, notamment en cas de difficultés ou de conflits (internes, entre professionnels et membres du GEM, avec le cas échéant les prestataires de services ou l’association gestionnaire…). Il veille ainsi au respect de l’éthique des GEM, notamment par le respect du cahier des charges, en particulier sur le respect du choix des adhérents du GEM, dans la limite des règlementations en vigueur (droit du travail, règles budgétaires…). Il peut aider le GEM à s’organiser et, en cas de crise, assurer temporairement certaines des missions de l’association, sans toutefois s’y substituer ou la mettre “ sous tutelle “. Cet appui trouve son prolongement dans sa participation en tant qu’invité aux instances de l’association constituant le GEM.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parrain peut être :</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Une association d’usagers (patients, ex-patients, personnes handicapées) ;</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Une association ou tout organisme reconnu comme en capacité d’apporter un soutien aux adhérents.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Une association de familles ;</w:t>
      </w:r>
    </w:p>
    <w:p w:rsidR="00273735" w:rsidRPr="00273735" w:rsidRDefault="00273735" w:rsidP="00273735">
      <w:pPr>
        <w:autoSpaceDE w:val="0"/>
        <w:autoSpaceDN w:val="0"/>
        <w:adjustRightInd w:val="0"/>
        <w:spacing w:after="0" w:line="240" w:lineRule="auto"/>
        <w:jc w:val="both"/>
        <w:rPr>
          <w:rFonts w:ascii="Calibri" w:eastAsia="Times New Roman" w:hAnsi="Calibri" w:cs="Arial"/>
          <w:color w:val="000000"/>
          <w:lang w:eastAsia="fr-FR"/>
        </w:rPr>
      </w:pPr>
      <w:r w:rsidRPr="00273735">
        <w:rPr>
          <w:rFonts w:ascii="Calibri" w:eastAsia="Times New Roman" w:hAnsi="Calibri" w:cs="Arial"/>
          <w:color w:val="000000"/>
          <w:lang w:eastAsia="fr-FR"/>
        </w:rPr>
        <w:t>L’association remplissant le rôle de parrain doit avoir un champ d’action compatible avec l’action des GEM, et les moyens de remplir sa mission de parrain.</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u w:val="single"/>
          <w:lang w:eastAsia="fr-FR"/>
        </w:rPr>
      </w:pPr>
      <w:r w:rsidRPr="00273735">
        <w:rPr>
          <w:rFonts w:ascii="Calibri" w:eastAsia="Times New Roman" w:hAnsi="Calibri" w:cs="Tahoma,Bold"/>
          <w:b/>
          <w:bCs/>
          <w:color w:val="000000"/>
          <w:u w:val="single"/>
          <w:lang w:eastAsia="fr-FR"/>
        </w:rPr>
        <w:lastRenderedPageBreak/>
        <w:t>Objet</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La convention de parrainage formalise les modalités de l’appui apporte au GEM.</w:t>
      </w: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u w:val="single"/>
          <w:lang w:eastAsia="fr-FR"/>
        </w:rPr>
      </w:pPr>
      <w:r w:rsidRPr="00273735">
        <w:rPr>
          <w:rFonts w:ascii="Calibri" w:eastAsia="Times New Roman" w:hAnsi="Calibri" w:cs="Tahoma,Bold"/>
          <w:b/>
          <w:bCs/>
          <w:color w:val="000000"/>
          <w:u w:val="single"/>
          <w:lang w:eastAsia="fr-FR"/>
        </w:rPr>
        <w:t>Article 1. Rôle et missions du parrain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parrain a pour fonction principale d’être garant du respect du cahier des charges et de l’éthique du GEM, à savoir la recherche de l’autonomie des adhérents du GEM. Il se positionne donc en soutien du GEM et ne se substitue pas à lui, sauf en cas d’urgence manifeste.</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Il intervient notamment en cas de difficultés et/ou de conflits rencontres par le GEM, mais aussi, en cas de besoin, pour rappeler les obligations du GEM résultant du cahier des charges.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4F82BE"/>
          <w:lang w:eastAsia="fr-FR"/>
        </w:rPr>
        <w:t>Ajouter ici s’il y a une mission spécifique dévolue au parrain ou si une liste de missions est définie (exemples : il répond dans les meilleurs délais aux questions que le GEM pourrait lui poser ; il peut se déplacer sur site en cas de besoin ; il fait circuler toutes les informations en sa possession et utiles au fonctionnement et à la gestion du GEM ; il met à disposition du GEM un support pour l’élaboration des dossiers de demande de subvention…).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u w:val="single"/>
          <w:lang w:eastAsia="fr-FR"/>
        </w:rPr>
      </w:pPr>
      <w:r w:rsidRPr="00273735">
        <w:rPr>
          <w:rFonts w:ascii="Calibri" w:eastAsia="Times New Roman" w:hAnsi="Calibri" w:cs="Tahoma,Bold"/>
          <w:b/>
          <w:bCs/>
          <w:color w:val="000000"/>
          <w:u w:val="single"/>
          <w:lang w:eastAsia="fr-FR"/>
        </w:rPr>
        <w:t>Article 2. Engagements du parrain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parrain s’engage à intervenir à la demande des différents acteurs du GEM : membre adhérent, salarié, bénévole ; ou à la demande d’un partenaire du GEM, de l’organisme gestionnaire (s’il existe), de l’ARS, notamment en cas de difficultés rencontrées par le GEM vis-à-vis du respect du cahier des charges.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Il s’engage à pouvoir intervenir dans un délai raisonnable, y compris sur place : la proximité du parrain avec le GEM doit permettre une mobilisation rapide ; une proximité géographique pouvant faciliter cette mobilisation.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xml:space="preserve">En cas de difficultés et/ou de conflits, il assure un rôle de </w:t>
      </w:r>
      <w:r w:rsidRPr="00273735">
        <w:rPr>
          <w:rFonts w:ascii="Calibri" w:eastAsia="Times New Roman" w:hAnsi="Calibri" w:cs="Tahoma,Bold"/>
          <w:b/>
          <w:bCs/>
          <w:color w:val="000000"/>
          <w:lang w:eastAsia="fr-FR"/>
        </w:rPr>
        <w:t xml:space="preserve">médiateur, de tiers et de conseil </w:t>
      </w:r>
      <w:r w:rsidRPr="00273735">
        <w:rPr>
          <w:rFonts w:ascii="Calibri" w:eastAsia="Times New Roman" w:hAnsi="Calibri" w:cs="Tahoma"/>
          <w:color w:val="000000"/>
          <w:lang w:eastAsia="fr-FR"/>
        </w:rPr>
        <w:t>entre les parties prenantes, en se référant au cadre règlementaire (cahier des charges du GEM, mais aussi, si besoin, code du travail, règles budgétaires relatives aux subventions…). Sur demande expresse du GEM, il peut agir sur un temps donne à la place du GEM.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Hors difficultés/conflits, le parrain s’engage à fournir au GEM toute information utile au bon fonctionnement du GEM et à le conseiller sur des questions posées par le GEM.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4F82BE"/>
          <w:lang w:eastAsia="fr-FR"/>
        </w:rPr>
        <w:t>Ajouter ici s’il y a des engagements spécifiques du parrain. Si le parrain est le même organisme que le gestionnaire (uniquement pour les GEM TC), préciser ici la distinction des fonctions afin d’identifier au sein de ce même organisme une personne / une fonction de médiation distincte de la fonction de gestion.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u w:val="single"/>
          <w:lang w:eastAsia="fr-FR"/>
        </w:rPr>
      </w:pPr>
      <w:r w:rsidRPr="00273735">
        <w:rPr>
          <w:rFonts w:ascii="Calibri" w:eastAsia="Times New Roman" w:hAnsi="Calibri" w:cs="Tahoma,Bold"/>
          <w:b/>
          <w:bCs/>
          <w:color w:val="000000"/>
          <w:u w:val="single"/>
          <w:lang w:eastAsia="fr-FR"/>
        </w:rPr>
        <w:t>Article 3. Engagements du GEM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GEM s’engage à informer le parrain du fonctionnement général du GEM, et des changements importants survenus au GEM (changement des membres du bureau, changement de local…).</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4F82BE"/>
          <w:lang w:eastAsia="fr-FR"/>
        </w:rPr>
        <w:t>Préciser les documents à fournir (statuts, liste des membres des instances du GEM, convention de subvention…).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GEM s’engage à prévenir et à saisir le parrain dans les meilleurs délais, en cas de difficultés / conflits rencontrés.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Il s’engage à mettre à disposition du parrain tout document utile à la compréhension du fonctionnement du GEM et de la situation pour laquelle le parrain doit être saisi.</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Il s’engage à permettre aux acteurs du GEM (membre, salarié, bénévole, mais également organisme gestionnaire s’il existe, un partenaire, l’ARS…) de saisir le parrain en cas de besoin.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4F82BE"/>
          <w:lang w:eastAsia="fr-FR"/>
        </w:rPr>
        <w:t>Ajouter ici s’il y a des engagements spécifiques du GEM (adhésion à l’association marraine, fréquence des échanges…).</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u w:val="single"/>
          <w:lang w:eastAsia="fr-FR"/>
        </w:rPr>
      </w:pPr>
      <w:r w:rsidRPr="00273735">
        <w:rPr>
          <w:rFonts w:ascii="Calibri" w:eastAsia="Times New Roman" w:hAnsi="Calibri" w:cs="Tahoma,Bold"/>
          <w:b/>
          <w:bCs/>
          <w:color w:val="000000"/>
          <w:u w:val="single"/>
          <w:lang w:eastAsia="fr-FR"/>
        </w:rPr>
        <w:t>Article 4. Articulation entre le GEM et le parrain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Le parrain a une voix consultative dans les instances du GEM</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4F82BE"/>
          <w:lang w:eastAsia="fr-FR"/>
        </w:rPr>
        <w:t>Définir ici les modalités de participation du parrain aux instances du GEM (le parrain est invité à chaque AG / CA, présence possible au bureau, transmission systématique de tous les documents envoyés aux administrateurs…). Définir ici d’autres liens éventuels entre le GEM et le parrain.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Bold"/>
          <w:b/>
          <w:bCs/>
          <w:color w:val="000000"/>
          <w:u w:val="single"/>
          <w:lang w:eastAsia="fr-FR"/>
        </w:rPr>
      </w:pPr>
      <w:r w:rsidRPr="00273735">
        <w:rPr>
          <w:rFonts w:ascii="Calibri" w:eastAsia="Times New Roman" w:hAnsi="Calibri" w:cs="Tahoma,Bold"/>
          <w:b/>
          <w:bCs/>
          <w:color w:val="000000"/>
          <w:u w:val="single"/>
          <w:lang w:eastAsia="fr-FR"/>
        </w:rPr>
        <w:t>Article 5. Durée et résiliation de la présente convention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xml:space="preserve">La présente convention est conclue pour une </w:t>
      </w:r>
      <w:r w:rsidRPr="00273735">
        <w:rPr>
          <w:rFonts w:ascii="Calibri" w:eastAsia="Times New Roman" w:hAnsi="Calibri" w:cs="Tahoma"/>
          <w:color w:val="4F82BE"/>
          <w:lang w:eastAsia="fr-FR"/>
        </w:rPr>
        <w:t>durée à préciser</w:t>
      </w:r>
      <w:r w:rsidRPr="00273735">
        <w:rPr>
          <w:rFonts w:ascii="Calibri" w:eastAsia="Times New Roman" w:hAnsi="Calibri" w:cs="Tahoma"/>
          <w:color w:val="000000"/>
          <w:lang w:eastAsia="fr-FR"/>
        </w:rPr>
        <w:t xml:space="preserve">, à dater de sa signature. Elle est renouvelable </w:t>
      </w:r>
      <w:r w:rsidRPr="00273735">
        <w:rPr>
          <w:rFonts w:ascii="Calibri" w:eastAsia="Times New Roman" w:hAnsi="Calibri" w:cs="Tahoma"/>
          <w:color w:val="4F82BE"/>
          <w:lang w:eastAsia="fr-FR"/>
        </w:rPr>
        <w:t xml:space="preserve">expressément tous les (préciser la durée) ou par tacite reconduction </w:t>
      </w:r>
      <w:r w:rsidRPr="00273735">
        <w:rPr>
          <w:rFonts w:ascii="Calibri" w:eastAsia="Times New Roman" w:hAnsi="Calibri" w:cs="Tahoma"/>
          <w:color w:val="000000"/>
          <w:lang w:eastAsia="fr-FR"/>
        </w:rPr>
        <w:t xml:space="preserve">de chacune des parties pour la même période. </w:t>
      </w:r>
      <w:r w:rsidRPr="00273735">
        <w:rPr>
          <w:rFonts w:ascii="Calibri" w:eastAsia="Times New Roman" w:hAnsi="Calibri" w:cs="Tahoma"/>
          <w:color w:val="4F82BE"/>
          <w:lang w:eastAsia="fr-FR"/>
        </w:rPr>
        <w:t>En cas de renouvellement par tacite reconduction : préciser une durée maximale (exemple : 3 à 5 ans) pour renouveler de façon expresse la convention.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4F82BE"/>
          <w:lang w:eastAsia="fr-FR"/>
        </w:rPr>
      </w:pPr>
      <w:r w:rsidRPr="00273735">
        <w:rPr>
          <w:rFonts w:ascii="Calibri" w:eastAsia="Times New Roman" w:hAnsi="Calibri" w:cs="Tahoma"/>
          <w:color w:val="000000"/>
          <w:lang w:eastAsia="fr-FR"/>
        </w:rPr>
        <w:t xml:space="preserve">Elle est résiliable </w:t>
      </w:r>
      <w:r w:rsidRPr="00273735">
        <w:rPr>
          <w:rFonts w:ascii="Calibri" w:eastAsia="Times New Roman" w:hAnsi="Calibri" w:cs="Tahoma"/>
          <w:color w:val="4F82BE"/>
          <w:lang w:eastAsia="fr-FR"/>
        </w:rPr>
        <w:t xml:space="preserve">(préciser quand : à la date anniversaire de la signature ou à tout moment) </w:t>
      </w:r>
      <w:r w:rsidRPr="00273735">
        <w:rPr>
          <w:rFonts w:ascii="Calibri" w:eastAsia="Times New Roman" w:hAnsi="Calibri" w:cs="Tahoma"/>
          <w:color w:val="000000"/>
          <w:lang w:eastAsia="fr-FR"/>
        </w:rPr>
        <w:t xml:space="preserve">sous réserve d’un préavis de </w:t>
      </w:r>
      <w:r w:rsidRPr="00273735">
        <w:rPr>
          <w:rFonts w:ascii="Calibri" w:eastAsia="Times New Roman" w:hAnsi="Calibri" w:cs="Tahoma"/>
          <w:color w:val="4F82BE"/>
          <w:lang w:eastAsia="fr-FR"/>
        </w:rPr>
        <w:t xml:space="preserve">XX </w:t>
      </w:r>
      <w:r w:rsidRPr="00273735">
        <w:rPr>
          <w:rFonts w:ascii="Calibri" w:eastAsia="Times New Roman" w:hAnsi="Calibri" w:cs="Tahoma"/>
          <w:color w:val="000000"/>
          <w:lang w:eastAsia="fr-FR"/>
        </w:rPr>
        <w:t>mois par lettre recommandée avec avis de réception.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 xml:space="preserve">L’ARS doit être </w:t>
      </w:r>
      <w:proofErr w:type="gramStart"/>
      <w:r w:rsidRPr="00273735">
        <w:rPr>
          <w:rFonts w:ascii="Calibri" w:eastAsia="Times New Roman" w:hAnsi="Calibri" w:cs="Tahoma"/>
          <w:color w:val="000000"/>
          <w:lang w:eastAsia="fr-FR"/>
        </w:rPr>
        <w:t>informée</w:t>
      </w:r>
      <w:proofErr w:type="gramEnd"/>
      <w:r w:rsidRPr="00273735">
        <w:rPr>
          <w:rFonts w:ascii="Calibri" w:eastAsia="Times New Roman" w:hAnsi="Calibri" w:cs="Tahoma"/>
          <w:color w:val="000000"/>
          <w:lang w:eastAsia="fr-FR"/>
        </w:rPr>
        <w:t xml:space="preserve"> de la résiliation lors de l’envoi du préavis de rupture de la présente convention.</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A</w:t>
      </w:r>
      <w:r w:rsidRPr="00273735">
        <w:rPr>
          <w:rFonts w:ascii="Calibri" w:eastAsia="Times New Roman" w:hAnsi="Calibri" w:cs="Tahoma"/>
          <w:color w:val="000000"/>
          <w:lang w:eastAsia="fr-FR"/>
        </w:rPr>
        <w:tab/>
      </w:r>
      <w:r w:rsidRPr="00273735">
        <w:rPr>
          <w:rFonts w:ascii="Calibri" w:eastAsia="Times New Roman" w:hAnsi="Calibri" w:cs="Tahoma"/>
          <w:color w:val="000000"/>
          <w:lang w:eastAsia="fr-FR"/>
        </w:rPr>
        <w:tab/>
      </w:r>
      <w:r w:rsidRPr="00273735">
        <w:rPr>
          <w:rFonts w:ascii="Calibri" w:eastAsia="Times New Roman" w:hAnsi="Calibri" w:cs="Tahoma"/>
          <w:color w:val="000000"/>
          <w:lang w:eastAsia="fr-FR"/>
        </w:rPr>
        <w:tab/>
      </w:r>
      <w:r w:rsidRPr="00273735">
        <w:rPr>
          <w:rFonts w:ascii="Calibri" w:eastAsia="Times New Roman" w:hAnsi="Calibri" w:cs="Tahoma"/>
          <w:color w:val="000000"/>
          <w:lang w:eastAsia="fr-FR"/>
        </w:rPr>
        <w:tab/>
        <w:t>, le</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sectPr w:rsidR="00273735" w:rsidRPr="00273735" w:rsidSect="003B47D3">
          <w:headerReference w:type="even" r:id="rId7"/>
          <w:headerReference w:type="default" r:id="rId8"/>
          <w:footerReference w:type="default" r:id="rId9"/>
          <w:footerReference w:type="first" r:id="rId10"/>
          <w:pgSz w:w="11906" w:h="16838" w:code="9"/>
          <w:pgMar w:top="1418" w:right="1133" w:bottom="1418" w:left="1418" w:header="720" w:footer="680" w:gutter="0"/>
          <w:cols w:space="720"/>
          <w:titlePg/>
          <w:docGrid w:linePitch="272"/>
        </w:sectPr>
      </w:pPr>
    </w:p>
    <w:p w:rsidR="00273735" w:rsidRPr="00273735" w:rsidRDefault="00273735" w:rsidP="00273735">
      <w:pPr>
        <w:autoSpaceDE w:val="0"/>
        <w:autoSpaceDN w:val="0"/>
        <w:adjustRightInd w:val="0"/>
        <w:spacing w:after="0" w:line="240" w:lineRule="auto"/>
        <w:jc w:val="center"/>
        <w:rPr>
          <w:rFonts w:ascii="Calibri" w:eastAsia="Times New Roman" w:hAnsi="Calibri" w:cs="Tahoma"/>
          <w:color w:val="000000"/>
          <w:lang w:eastAsia="fr-FR"/>
        </w:rPr>
      </w:pPr>
      <w:r w:rsidRPr="00273735">
        <w:rPr>
          <w:rFonts w:ascii="Calibri" w:eastAsia="Times New Roman" w:hAnsi="Calibri" w:cs="Tahoma"/>
          <w:color w:val="000000"/>
          <w:lang w:eastAsia="fr-FR"/>
        </w:rPr>
        <w:lastRenderedPageBreak/>
        <w:t>Le Président de l’Association</w:t>
      </w:r>
    </w:p>
    <w:p w:rsidR="00273735" w:rsidRPr="00273735" w:rsidRDefault="00273735" w:rsidP="00273735">
      <w:pPr>
        <w:autoSpaceDE w:val="0"/>
        <w:autoSpaceDN w:val="0"/>
        <w:adjustRightInd w:val="0"/>
        <w:spacing w:after="0" w:line="240" w:lineRule="auto"/>
        <w:jc w:val="center"/>
        <w:rPr>
          <w:rFonts w:ascii="Calibri" w:eastAsia="Times New Roman" w:hAnsi="Calibri" w:cs="Tahoma"/>
          <w:color w:val="000000"/>
          <w:lang w:eastAsia="fr-FR"/>
        </w:rPr>
      </w:pPr>
      <w:proofErr w:type="gramStart"/>
      <w:r w:rsidRPr="00273735">
        <w:rPr>
          <w:rFonts w:ascii="Calibri" w:eastAsia="Times New Roman" w:hAnsi="Calibri" w:cs="Tahoma"/>
          <w:color w:val="000000"/>
          <w:lang w:eastAsia="fr-FR"/>
        </w:rPr>
        <w:t>des</w:t>
      </w:r>
      <w:proofErr w:type="gramEnd"/>
      <w:r w:rsidRPr="00273735">
        <w:rPr>
          <w:rFonts w:ascii="Calibri" w:eastAsia="Times New Roman" w:hAnsi="Calibri" w:cs="Tahoma"/>
          <w:color w:val="000000"/>
          <w:lang w:eastAsia="fr-FR"/>
        </w:rPr>
        <w:t xml:space="preserve"> membres du GEM</w:t>
      </w:r>
    </w:p>
    <w:p w:rsidR="00273735" w:rsidRPr="00273735" w:rsidRDefault="00273735" w:rsidP="00273735">
      <w:pPr>
        <w:autoSpaceDE w:val="0"/>
        <w:autoSpaceDN w:val="0"/>
        <w:adjustRightInd w:val="0"/>
        <w:spacing w:after="0" w:line="240" w:lineRule="auto"/>
        <w:jc w:val="center"/>
        <w:rPr>
          <w:rFonts w:ascii="Calibri" w:eastAsia="Times New Roman" w:hAnsi="Calibri" w:cs="Tahoma"/>
          <w:color w:val="000000"/>
          <w:lang w:eastAsia="fr-FR"/>
        </w:rPr>
      </w:pPr>
      <w:r w:rsidRPr="00273735">
        <w:rPr>
          <w:rFonts w:ascii="Calibri" w:eastAsia="Times New Roman" w:hAnsi="Calibri" w:cs="Tahoma"/>
          <w:color w:val="000000"/>
          <w:lang w:eastAsia="fr-FR"/>
        </w:rPr>
        <w:lastRenderedPageBreak/>
        <w:t>Le Président de l’association marraine</w:t>
      </w:r>
    </w:p>
    <w:p w:rsidR="00273735" w:rsidRDefault="00273735" w:rsidP="00273735">
      <w:pPr>
        <w:autoSpaceDE w:val="0"/>
        <w:autoSpaceDN w:val="0"/>
        <w:adjustRightInd w:val="0"/>
        <w:spacing w:after="0" w:line="240" w:lineRule="auto"/>
        <w:jc w:val="center"/>
        <w:rPr>
          <w:rFonts w:ascii="Calibri" w:eastAsia="Times New Roman" w:hAnsi="Calibri" w:cs="Tahoma"/>
          <w:color w:val="000000"/>
          <w:lang w:eastAsia="fr-FR"/>
        </w:rPr>
        <w:sectPr w:rsidR="00273735" w:rsidSect="00273735">
          <w:type w:val="continuous"/>
          <w:pgSz w:w="11906" w:h="16838" w:code="9"/>
          <w:pgMar w:top="1418" w:right="1133" w:bottom="1418" w:left="1418" w:header="720" w:footer="680" w:gutter="0"/>
          <w:cols w:num="2" w:space="720"/>
          <w:titlePg/>
          <w:docGrid w:linePitch="272"/>
        </w:sectPr>
      </w:pPr>
    </w:p>
    <w:p w:rsidR="00273735" w:rsidRPr="00273735" w:rsidRDefault="00273735" w:rsidP="00273735">
      <w:pPr>
        <w:autoSpaceDE w:val="0"/>
        <w:autoSpaceDN w:val="0"/>
        <w:adjustRightInd w:val="0"/>
        <w:spacing w:after="0" w:line="240" w:lineRule="auto"/>
        <w:rPr>
          <w:rFonts w:ascii="Calibri" w:eastAsia="Times New Roman" w:hAnsi="Calibri" w:cs="Tahoma"/>
          <w:color w:val="000000"/>
          <w:lang w:eastAsia="fr-FR"/>
        </w:rPr>
      </w:pPr>
      <w:r w:rsidRPr="00273735">
        <w:rPr>
          <w:rFonts w:ascii="Calibri" w:eastAsia="Times New Roman" w:hAnsi="Calibri" w:cs="Tahoma"/>
          <w:color w:val="000000"/>
          <w:lang w:eastAsia="fr-FR"/>
        </w:rPr>
        <w:lastRenderedPageBreak/>
        <w:t>(</w:t>
      </w:r>
      <w:proofErr w:type="gramStart"/>
      <w:r w:rsidRPr="00273735">
        <w:rPr>
          <w:rFonts w:ascii="Calibri" w:eastAsia="Times New Roman" w:hAnsi="Calibri" w:cs="Tahoma"/>
          <w:color w:val="000000"/>
          <w:lang w:eastAsia="fr-FR"/>
        </w:rPr>
        <w:t>ou</w:t>
      </w:r>
      <w:proofErr w:type="gramEnd"/>
      <w:r w:rsidRPr="00273735">
        <w:rPr>
          <w:rFonts w:ascii="Calibri" w:eastAsia="Times New Roman" w:hAnsi="Calibri" w:cs="Tahoma"/>
          <w:color w:val="000000"/>
          <w:lang w:eastAsia="fr-FR"/>
        </w:rPr>
        <w:t xml:space="preserve"> l’organisme représentant le GEM si </w:t>
      </w:r>
      <w:r>
        <w:rPr>
          <w:rFonts w:ascii="Calibri" w:eastAsia="Times New Roman" w:hAnsi="Calibri" w:cs="Tahoma"/>
          <w:color w:val="000000"/>
          <w:lang w:eastAsia="fr-FR"/>
        </w:rPr>
        <w:t>l</w:t>
      </w:r>
      <w:r w:rsidRPr="00273735">
        <w:rPr>
          <w:rFonts w:ascii="Calibri" w:eastAsia="Times New Roman" w:hAnsi="Calibri" w:cs="Tahoma"/>
          <w:color w:val="000000"/>
          <w:lang w:eastAsia="fr-FR"/>
        </w:rPr>
        <w:t>’association</w:t>
      </w: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roofErr w:type="gramStart"/>
      <w:r w:rsidRPr="00273735">
        <w:rPr>
          <w:rFonts w:ascii="Calibri" w:eastAsia="Times New Roman" w:hAnsi="Calibri" w:cs="Tahoma"/>
          <w:color w:val="000000"/>
          <w:lang w:eastAsia="fr-FR"/>
        </w:rPr>
        <w:t>des</w:t>
      </w:r>
      <w:proofErr w:type="gramEnd"/>
      <w:r w:rsidRPr="00273735">
        <w:rPr>
          <w:rFonts w:ascii="Calibri" w:eastAsia="Times New Roman" w:hAnsi="Calibri" w:cs="Tahoma"/>
          <w:color w:val="000000"/>
          <w:lang w:eastAsia="fr-FR"/>
        </w:rPr>
        <w:t xml:space="preserve"> membres du GEM n’est pas encore constituée)</w:t>
      </w: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pPr>
      <w:r w:rsidRPr="00273735">
        <w:rPr>
          <w:rFonts w:ascii="Calibri" w:eastAsia="Times New Roman" w:hAnsi="Calibri" w:cs="Tahoma"/>
          <w:color w:val="000000"/>
          <w:lang w:eastAsia="fr-FR"/>
        </w:rPr>
        <w:t>Convention transmise à l’ARS le :</w:t>
      </w:r>
    </w:p>
    <w:p w:rsidR="00273735" w:rsidRPr="00273735" w:rsidRDefault="00273735" w:rsidP="00273735">
      <w:pPr>
        <w:autoSpaceDE w:val="0"/>
        <w:autoSpaceDN w:val="0"/>
        <w:adjustRightInd w:val="0"/>
        <w:spacing w:after="0" w:line="240" w:lineRule="auto"/>
        <w:jc w:val="both"/>
        <w:rPr>
          <w:rFonts w:ascii="Calibri" w:eastAsia="Times New Roman" w:hAnsi="Calibri" w:cs="Tahoma"/>
          <w:color w:val="000000"/>
          <w:lang w:eastAsia="fr-FR"/>
        </w:rPr>
        <w:sectPr w:rsidR="00273735" w:rsidRPr="00273735" w:rsidSect="00273735">
          <w:headerReference w:type="even" r:id="rId11"/>
          <w:headerReference w:type="default" r:id="rId12"/>
          <w:footerReference w:type="default" r:id="rId13"/>
          <w:footerReference w:type="first" r:id="rId14"/>
          <w:type w:val="continuous"/>
          <w:pgSz w:w="11906" w:h="16838" w:code="9"/>
          <w:pgMar w:top="1418" w:right="1133" w:bottom="1418" w:left="1418" w:header="720" w:footer="680" w:gutter="0"/>
          <w:cols w:space="720"/>
          <w:titlePg/>
          <w:docGrid w:linePitch="272"/>
        </w:sectPr>
      </w:pPr>
    </w:p>
    <w:p w:rsidR="00273735" w:rsidRDefault="00273735" w:rsidP="00273735">
      <w:pPr>
        <w:autoSpaceDE w:val="0"/>
        <w:autoSpaceDN w:val="0"/>
        <w:adjustRightInd w:val="0"/>
        <w:spacing w:after="0" w:line="240" w:lineRule="auto"/>
        <w:rPr>
          <w:rFonts w:ascii="Calibri" w:eastAsia="Times New Roman" w:hAnsi="Calibri" w:cs="Tahoma"/>
          <w:color w:val="000000"/>
          <w:lang w:eastAsia="fr-FR"/>
        </w:rPr>
      </w:pPr>
    </w:p>
    <w:sectPr w:rsidR="00273735">
      <w:headerReference w:type="even" r:id="rId15"/>
      <w:headerReference w:type="default" r:id="rId16"/>
      <w:footerReference w:type="defaul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24" w:rsidRDefault="003D5624" w:rsidP="00273735">
      <w:pPr>
        <w:spacing w:after="0" w:line="240" w:lineRule="auto"/>
      </w:pPr>
      <w:r>
        <w:separator/>
      </w:r>
    </w:p>
  </w:endnote>
  <w:endnote w:type="continuationSeparator" w:id="0">
    <w:p w:rsidR="003D5624" w:rsidRDefault="003D5624" w:rsidP="0027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9492"/>
      <w:docPartObj>
        <w:docPartGallery w:val="Page Numbers (Bottom of Page)"/>
        <w:docPartUnique/>
      </w:docPartObj>
    </w:sdtPr>
    <w:sdtContent>
      <w:p w:rsidR="00081C57" w:rsidRDefault="00081C57">
        <w:pPr>
          <w:pStyle w:val="Pieddepage"/>
          <w:jc w:val="right"/>
        </w:pPr>
        <w:r>
          <w:fldChar w:fldCharType="begin"/>
        </w:r>
        <w:r>
          <w:instrText>PAGE   \* MERGEFORMAT</w:instrText>
        </w:r>
        <w:r>
          <w:fldChar w:fldCharType="separate"/>
        </w:r>
        <w:r>
          <w:rPr>
            <w:noProof/>
          </w:rPr>
          <w:t>2</w:t>
        </w:r>
        <w:r>
          <w:fldChar w:fldCharType="end"/>
        </w:r>
      </w:p>
    </w:sdtContent>
  </w:sdt>
  <w:p w:rsidR="00081C57" w:rsidRPr="00E55C52" w:rsidRDefault="00081C57" w:rsidP="00081C57">
    <w:pPr>
      <w:pStyle w:val="Pieddepage"/>
      <w:ind w:left="-993"/>
    </w:pPr>
    <w:r>
      <w:rPr>
        <w:noProof/>
      </w:rPr>
      <w:drawing>
        <wp:inline distT="0" distB="0" distL="0" distR="0" wp14:anchorId="260B57A5" wp14:editId="1C2E2A10">
          <wp:extent cx="295275" cy="285750"/>
          <wp:effectExtent l="0" t="0" r="9525" b="0"/>
          <wp:docPr id="1" name="Image 1" descr="ARS-TIRET-ADRESSE bas"/>
          <wp:cNvGraphicFramePr/>
          <a:graphic xmlns:a="http://schemas.openxmlformats.org/drawingml/2006/main">
            <a:graphicData uri="http://schemas.openxmlformats.org/drawingml/2006/picture">
              <pic:pic xmlns:pic="http://schemas.openxmlformats.org/drawingml/2006/picture">
                <pic:nvPicPr>
                  <pic:cNvPr id="6" name="Image 6" descr="ARS-TIRET-ADRESSE ba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tab/>
      <w:t>AAC GEM 2018 – Annexe 4</w:t>
    </w:r>
  </w:p>
  <w:p w:rsidR="00273735" w:rsidRPr="00273735" w:rsidRDefault="00273735" w:rsidP="00081C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0260"/>
      <w:docPartObj>
        <w:docPartGallery w:val="Page Numbers (Bottom of Page)"/>
        <w:docPartUnique/>
      </w:docPartObj>
    </w:sdtPr>
    <w:sdtContent>
      <w:p w:rsidR="00AA21B3" w:rsidRDefault="00AA21B3">
        <w:pPr>
          <w:pStyle w:val="Pieddepage"/>
          <w:jc w:val="right"/>
        </w:pPr>
        <w:r>
          <w:fldChar w:fldCharType="begin"/>
        </w:r>
        <w:r>
          <w:instrText>PAGE   \* MERGEFORMAT</w:instrText>
        </w:r>
        <w:r>
          <w:fldChar w:fldCharType="separate"/>
        </w:r>
        <w:r w:rsidR="00081C57">
          <w:rPr>
            <w:noProof/>
          </w:rPr>
          <w:t>1</w:t>
        </w:r>
        <w:r>
          <w:fldChar w:fldCharType="end"/>
        </w:r>
      </w:p>
    </w:sdtContent>
  </w:sdt>
  <w:p w:rsidR="00273735" w:rsidRPr="00E55C52" w:rsidRDefault="00AA21B3" w:rsidP="00AA21B3">
    <w:pPr>
      <w:pStyle w:val="Pieddepage"/>
      <w:ind w:left="-993"/>
    </w:pPr>
    <w:r>
      <w:rPr>
        <w:noProof/>
      </w:rPr>
      <w:drawing>
        <wp:inline distT="0" distB="0" distL="0" distR="0" wp14:anchorId="1D1D9B35" wp14:editId="13D811EE">
          <wp:extent cx="295275" cy="285750"/>
          <wp:effectExtent l="0" t="0" r="9525" b="0"/>
          <wp:docPr id="6" name="Image 6" descr="ARS-TIRET-ADRESSE bas"/>
          <wp:cNvGraphicFramePr/>
          <a:graphic xmlns:a="http://schemas.openxmlformats.org/drawingml/2006/main">
            <a:graphicData uri="http://schemas.openxmlformats.org/drawingml/2006/picture">
              <pic:pic xmlns:pic="http://schemas.openxmlformats.org/drawingml/2006/picture">
                <pic:nvPicPr>
                  <pic:cNvPr id="6" name="Image 6" descr="ARS-TIRET-ADRESSE ba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tab/>
      <w:t>AAC GEM 2018 – Annexe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Pr="00E55C52" w:rsidRDefault="00273735" w:rsidP="00273735">
    <w:pPr>
      <w:pStyle w:val="Pieddepage"/>
    </w:pPr>
    <w:r>
      <w:rPr>
        <w:noProof/>
      </w:rPr>
      <w:drawing>
        <wp:anchor distT="0" distB="0" distL="114300" distR="114300" simplePos="0" relativeHeight="251667456" behindDoc="0" locked="0" layoutInCell="1" allowOverlap="1" wp14:anchorId="77FD86CA" wp14:editId="5428EE44">
          <wp:simplePos x="0" y="0"/>
          <wp:positionH relativeFrom="column">
            <wp:posOffset>-770255</wp:posOffset>
          </wp:positionH>
          <wp:positionV relativeFrom="paragraph">
            <wp:posOffset>-74930</wp:posOffset>
          </wp:positionV>
          <wp:extent cx="295275" cy="285750"/>
          <wp:effectExtent l="0" t="0" r="9525" b="0"/>
          <wp:wrapNone/>
          <wp:docPr id="22" name="Image 2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AAC GEM 2018 – Annexe 4 </w:t>
    </w:r>
  </w:p>
  <w:p w:rsidR="00273735" w:rsidRPr="00273735" w:rsidRDefault="00273735" w:rsidP="0027373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Pr="00E55C52" w:rsidRDefault="00273735" w:rsidP="00E55C52">
    <w:pPr>
      <w:pStyle w:val="Pieddepage"/>
    </w:pPr>
    <w:r>
      <w:rPr>
        <w:noProof/>
      </w:rPr>
      <w:drawing>
        <wp:anchor distT="0" distB="0" distL="114300" distR="114300" simplePos="0" relativeHeight="251666432" behindDoc="0" locked="0" layoutInCell="1" allowOverlap="1" wp14:anchorId="41497C59" wp14:editId="3B342D69">
          <wp:simplePos x="0" y="0"/>
          <wp:positionH relativeFrom="column">
            <wp:posOffset>-770255</wp:posOffset>
          </wp:positionH>
          <wp:positionV relativeFrom="paragraph">
            <wp:posOffset>-74930</wp:posOffset>
          </wp:positionV>
          <wp:extent cx="295275" cy="285750"/>
          <wp:effectExtent l="0" t="0" r="9525" b="0"/>
          <wp:wrapNone/>
          <wp:docPr id="23" name="Image 2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AAC GEM 2018 – Annexe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Pr="00E55C52" w:rsidRDefault="00273735" w:rsidP="00273735">
    <w:pPr>
      <w:pStyle w:val="Pieddepage"/>
    </w:pPr>
    <w:r>
      <w:rPr>
        <w:noProof/>
      </w:rPr>
      <w:drawing>
        <wp:anchor distT="0" distB="0" distL="114300" distR="114300" simplePos="0" relativeHeight="251664384" behindDoc="0" locked="0" layoutInCell="1" allowOverlap="1" wp14:anchorId="337453BB" wp14:editId="10BD050D">
          <wp:simplePos x="0" y="0"/>
          <wp:positionH relativeFrom="column">
            <wp:posOffset>-770255</wp:posOffset>
          </wp:positionH>
          <wp:positionV relativeFrom="paragraph">
            <wp:posOffset>-74930</wp:posOffset>
          </wp:positionV>
          <wp:extent cx="295275" cy="285750"/>
          <wp:effectExtent l="0" t="0" r="9525" b="0"/>
          <wp:wrapNone/>
          <wp:docPr id="20" name="Image 20"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AAC GEM 2018 – Annexe 4 </w:t>
    </w:r>
  </w:p>
  <w:p w:rsidR="00273735" w:rsidRPr="00273735" w:rsidRDefault="00273735" w:rsidP="00273735">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Pr="00E55C52" w:rsidRDefault="00273735" w:rsidP="00E55C52">
    <w:pPr>
      <w:pStyle w:val="Pieddepage"/>
    </w:pPr>
    <w:r>
      <w:rPr>
        <w:noProof/>
      </w:rPr>
      <w:drawing>
        <wp:anchor distT="0" distB="0" distL="114300" distR="114300" simplePos="0" relativeHeight="251663360" behindDoc="0" locked="0" layoutInCell="1" allowOverlap="1" wp14:anchorId="3E778E94" wp14:editId="0BA588DA">
          <wp:simplePos x="0" y="0"/>
          <wp:positionH relativeFrom="column">
            <wp:posOffset>-770255</wp:posOffset>
          </wp:positionH>
          <wp:positionV relativeFrom="paragraph">
            <wp:posOffset>-74930</wp:posOffset>
          </wp:positionV>
          <wp:extent cx="295275" cy="285750"/>
          <wp:effectExtent l="0" t="0" r="9525" b="0"/>
          <wp:wrapNone/>
          <wp:docPr id="21" name="Image 2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AAC GEM 2018 – Annexe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24" w:rsidRDefault="003D5624" w:rsidP="00273735">
      <w:pPr>
        <w:spacing w:after="0" w:line="240" w:lineRule="auto"/>
      </w:pPr>
      <w:r>
        <w:separator/>
      </w:r>
    </w:p>
  </w:footnote>
  <w:footnote w:type="continuationSeparator" w:id="0">
    <w:p w:rsidR="003D5624" w:rsidRDefault="003D5624" w:rsidP="00273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Default="002737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273735" w:rsidRDefault="0027373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Default="00273735">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Default="002737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273735" w:rsidRDefault="00273735">
    <w:pPr>
      <w:pStyle w:val="En-tt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Default="002737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273735" w:rsidRDefault="00273735">
    <w:pPr>
      <w:pStyle w:val="En-tt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Default="0027373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273735" w:rsidRDefault="00273735">
    <w:pPr>
      <w:pStyle w:val="En-tt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5" w:rsidRDefault="00273735">
    <w:pPr>
      <w:pStyle w:val="En-tte"/>
      <w:framePr w:wrap="around" w:vAnchor="text" w:hAnchor="margin" w:xAlign="right" w:y="1"/>
      <w:rPr>
        <w:rStyle w:val="Numrodepage"/>
      </w:rPr>
    </w:pPr>
  </w:p>
  <w:p w:rsidR="00273735" w:rsidRDefault="0027373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2"/>
    <w:rsid w:val="00081C57"/>
    <w:rsid w:val="00273735"/>
    <w:rsid w:val="003D5624"/>
    <w:rsid w:val="00757178"/>
    <w:rsid w:val="00762DF2"/>
    <w:rsid w:val="008E770B"/>
    <w:rsid w:val="00AA21B3"/>
    <w:rsid w:val="00E86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373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27373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7373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273735"/>
    <w:rPr>
      <w:rFonts w:ascii="Times New Roman" w:eastAsia="Times New Roman" w:hAnsi="Times New Roman" w:cs="Times New Roman"/>
      <w:sz w:val="20"/>
      <w:szCs w:val="20"/>
      <w:lang w:eastAsia="fr-FR"/>
    </w:rPr>
  </w:style>
  <w:style w:type="character" w:styleId="Lienhypertexte">
    <w:name w:val="Hyperlink"/>
    <w:rsid w:val="00273735"/>
    <w:rPr>
      <w:color w:val="0000FF"/>
      <w:u w:val="single"/>
    </w:rPr>
  </w:style>
  <w:style w:type="character" w:styleId="Numrodepage">
    <w:name w:val="page number"/>
    <w:basedOn w:val="Policepardfaut"/>
    <w:rsid w:val="00273735"/>
  </w:style>
  <w:style w:type="paragraph" w:styleId="Textedebulles">
    <w:name w:val="Balloon Text"/>
    <w:basedOn w:val="Normal"/>
    <w:link w:val="TextedebullesCar"/>
    <w:uiPriority w:val="99"/>
    <w:semiHidden/>
    <w:unhideWhenUsed/>
    <w:rsid w:val="00AA21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373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27373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7373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273735"/>
    <w:rPr>
      <w:rFonts w:ascii="Times New Roman" w:eastAsia="Times New Roman" w:hAnsi="Times New Roman" w:cs="Times New Roman"/>
      <w:sz w:val="20"/>
      <w:szCs w:val="20"/>
      <w:lang w:eastAsia="fr-FR"/>
    </w:rPr>
  </w:style>
  <w:style w:type="character" w:styleId="Lienhypertexte">
    <w:name w:val="Hyperlink"/>
    <w:rsid w:val="00273735"/>
    <w:rPr>
      <w:color w:val="0000FF"/>
      <w:u w:val="single"/>
    </w:rPr>
  </w:style>
  <w:style w:type="character" w:styleId="Numrodepage">
    <w:name w:val="page number"/>
    <w:basedOn w:val="Policepardfaut"/>
    <w:rsid w:val="00273735"/>
  </w:style>
  <w:style w:type="paragraph" w:styleId="Textedebulles">
    <w:name w:val="Balloon Text"/>
    <w:basedOn w:val="Normal"/>
    <w:link w:val="TextedebullesCar"/>
    <w:uiPriority w:val="99"/>
    <w:semiHidden/>
    <w:unhideWhenUsed/>
    <w:rsid w:val="00AA21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1151</Words>
  <Characters>6332</Characters>
  <Application>Microsoft Office Word</Application>
  <DocSecurity>0</DocSecurity>
  <Lines>52</Lines>
  <Paragraphs>14</Paragraphs>
  <ScaleCrop>false</ScaleCrop>
  <Company>Ministères Chargés des Affaires Sociales</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2018-08-29T14:51:00Z</dcterms:created>
  <dcterms:modified xsi:type="dcterms:W3CDTF">2018-08-29T15:04:00Z</dcterms:modified>
</cp:coreProperties>
</file>